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A428EC" w14:textId="01A22F5B" w:rsidR="00C57F8D" w:rsidRPr="00C311BC" w:rsidRDefault="00143FE6" w:rsidP="00FA14A1">
      <w:pPr>
        <w:jc w:val="center"/>
        <w:rPr>
          <w:i/>
          <w:iCs/>
        </w:rPr>
      </w:pPr>
      <w:r>
        <w:rPr>
          <w:i/>
          <w:iCs/>
        </w:rPr>
        <w:t>Juridiskās personas</w:t>
      </w:r>
      <w:r w:rsidR="00FA14A1" w:rsidRPr="00C311BC">
        <w:rPr>
          <w:i/>
          <w:iCs/>
        </w:rPr>
        <w:t xml:space="preserve"> veidlapa</w:t>
      </w:r>
    </w:p>
    <w:p w14:paraId="3BA7C43B" w14:textId="68164576" w:rsidR="00FA14A1" w:rsidRDefault="00FA14A1" w:rsidP="00FA14A1">
      <w:pPr>
        <w:widowControl/>
        <w:spacing w:before="480" w:after="0" w:line="240" w:lineRule="auto"/>
        <w:jc w:val="right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>Pārtikas un veterinārajam dienestam</w:t>
      </w:r>
    </w:p>
    <w:p w14:paraId="2E1FEDD1" w14:textId="77777777" w:rsidR="00FA14A1" w:rsidRPr="003C0876" w:rsidRDefault="00FA14A1" w:rsidP="00FA14A1">
      <w:pPr>
        <w:widowControl/>
        <w:spacing w:after="0" w:line="240" w:lineRule="auto"/>
        <w:jc w:val="right"/>
        <w:rPr>
          <w:rFonts w:eastAsia="Times New Roman"/>
          <w:bCs/>
          <w:szCs w:val="24"/>
        </w:rPr>
      </w:pPr>
      <w:r w:rsidRPr="003C0876">
        <w:rPr>
          <w:rFonts w:eastAsia="Times New Roman"/>
          <w:bCs/>
          <w:szCs w:val="24"/>
        </w:rPr>
        <w:t>Nosūtīšanai e-Adresē</w:t>
      </w:r>
    </w:p>
    <w:p w14:paraId="23C48ED6" w14:textId="0BE46844" w:rsidR="00FA14A1" w:rsidRDefault="00FA14A1" w:rsidP="00C311BC">
      <w:pPr>
        <w:spacing w:before="480" w:after="480" w:line="240" w:lineRule="auto"/>
        <w:rPr>
          <w:i/>
          <w:szCs w:val="24"/>
        </w:rPr>
      </w:pPr>
      <w:r w:rsidRPr="00231E8F">
        <w:rPr>
          <w:i/>
          <w:szCs w:val="24"/>
        </w:rPr>
        <w:t xml:space="preserve">Par </w:t>
      </w:r>
      <w:r w:rsidR="00143FE6" w:rsidRPr="0041052A">
        <w:rPr>
          <w:i/>
          <w:szCs w:val="24"/>
        </w:rPr>
        <w:t>piekļuves</w:t>
      </w:r>
      <w:r w:rsidRPr="00231E8F">
        <w:rPr>
          <w:i/>
          <w:szCs w:val="24"/>
        </w:rPr>
        <w:t xml:space="preserve"> tiesību piešķiršanu</w:t>
      </w:r>
      <w:r w:rsidR="004A62D3">
        <w:rPr>
          <w:i/>
          <w:szCs w:val="24"/>
        </w:rPr>
        <w:t xml:space="preserve"> Veterinārās e-veselības informācijas sistēmas “eVETIS”</w:t>
      </w:r>
      <w:r w:rsidR="00873B60">
        <w:rPr>
          <w:i/>
          <w:szCs w:val="24"/>
        </w:rPr>
        <w:t xml:space="preserve"> </w:t>
      </w:r>
      <w:r w:rsidR="004A62D3">
        <w:rPr>
          <w:i/>
          <w:szCs w:val="24"/>
        </w:rPr>
        <w:t>datu apmaiņas servisiem (API)</w:t>
      </w:r>
    </w:p>
    <w:p w14:paraId="453E93D1" w14:textId="0046D567" w:rsidR="00FA14A1" w:rsidRDefault="00FA14A1" w:rsidP="00FA14A1">
      <w:pPr>
        <w:widowControl/>
        <w:spacing w:after="0" w:line="240" w:lineRule="auto"/>
        <w:ind w:firstLine="567"/>
        <w:jc w:val="both"/>
        <w:rPr>
          <w:rFonts w:eastAsia="Times New Roman"/>
          <w:szCs w:val="24"/>
        </w:rPr>
      </w:pPr>
      <w:r w:rsidRPr="00231E8F">
        <w:rPr>
          <w:rFonts w:eastAsia="Times New Roman"/>
          <w:szCs w:val="24"/>
        </w:rPr>
        <w:t>Saskaņā ar Ministru kabineta 20</w:t>
      </w:r>
      <w:r w:rsidR="004A62D3">
        <w:rPr>
          <w:rFonts w:eastAsia="Times New Roman"/>
          <w:szCs w:val="24"/>
        </w:rPr>
        <w:t>25</w:t>
      </w:r>
      <w:r w:rsidRPr="00231E8F">
        <w:rPr>
          <w:rFonts w:eastAsia="Times New Roman"/>
          <w:szCs w:val="24"/>
        </w:rPr>
        <w:t>.gada</w:t>
      </w:r>
      <w:r w:rsidR="004A62D3">
        <w:rPr>
          <w:rFonts w:eastAsia="Times New Roman"/>
          <w:szCs w:val="24"/>
        </w:rPr>
        <w:t xml:space="preserve"> 16.decembra</w:t>
      </w:r>
      <w:r w:rsidRPr="00231E8F">
        <w:rPr>
          <w:rFonts w:eastAsia="Times New Roman"/>
          <w:szCs w:val="24"/>
        </w:rPr>
        <w:t xml:space="preserve"> noteikumu Nr.</w:t>
      </w:r>
      <w:r w:rsidR="004A62D3">
        <w:rPr>
          <w:rFonts w:eastAsia="Times New Roman"/>
          <w:szCs w:val="24"/>
        </w:rPr>
        <w:t>775</w:t>
      </w:r>
      <w:r w:rsidRPr="00231E8F">
        <w:rPr>
          <w:rFonts w:eastAsia="Times New Roman"/>
          <w:szCs w:val="24"/>
        </w:rPr>
        <w:t xml:space="preserve"> “</w:t>
      </w:r>
      <w:r w:rsidR="004A62D3" w:rsidRPr="004A62D3">
        <w:rPr>
          <w:rFonts w:eastAsia="Times New Roman"/>
          <w:b/>
          <w:bCs/>
          <w:szCs w:val="24"/>
        </w:rPr>
        <w:t>Informācijas apkopošanas un statistikas veidošanas noteikumi veterināro zāļu aprites jomā</w:t>
      </w:r>
      <w:r w:rsidRPr="00231E8F">
        <w:rPr>
          <w:rFonts w:eastAsia="Times New Roman"/>
          <w:szCs w:val="24"/>
        </w:rPr>
        <w:t xml:space="preserve">” </w:t>
      </w:r>
      <w:r w:rsidRPr="005234D8">
        <w:rPr>
          <w:rFonts w:eastAsia="Times New Roman"/>
          <w:szCs w:val="24"/>
        </w:rPr>
        <w:t>13.</w:t>
      </w:r>
      <w:r w:rsidR="004A62D3">
        <w:rPr>
          <w:rFonts w:eastAsia="Times New Roman"/>
          <w:szCs w:val="24"/>
        </w:rPr>
        <w:t>; 15.; 30.</w:t>
      </w:r>
      <w:r w:rsidRPr="005234D8">
        <w:rPr>
          <w:rFonts w:eastAsia="Times New Roman"/>
          <w:szCs w:val="24"/>
        </w:rPr>
        <w:t xml:space="preserve"> punktu</w:t>
      </w:r>
      <w:r w:rsidRPr="00231E8F">
        <w:rPr>
          <w:rFonts w:eastAsia="Times New Roman"/>
          <w:szCs w:val="24"/>
        </w:rPr>
        <w:t xml:space="preserve">, lūdzam nodrošināt piekļuvi </w:t>
      </w:r>
      <w:r w:rsidR="00C311BC">
        <w:rPr>
          <w:rFonts w:eastAsia="Times New Roman"/>
          <w:szCs w:val="24"/>
        </w:rPr>
        <w:t xml:space="preserve">Pārtikas un veterinārā </w:t>
      </w:r>
      <w:r>
        <w:rPr>
          <w:rFonts w:eastAsia="Times New Roman"/>
          <w:szCs w:val="24"/>
        </w:rPr>
        <w:t xml:space="preserve">dienesta (turpmāk – </w:t>
      </w:r>
      <w:r w:rsidR="00C311BC">
        <w:rPr>
          <w:rFonts w:eastAsia="Times New Roman"/>
          <w:szCs w:val="24"/>
        </w:rPr>
        <w:t>PVD</w:t>
      </w:r>
      <w:r>
        <w:rPr>
          <w:rFonts w:eastAsia="Times New Roman"/>
          <w:szCs w:val="24"/>
        </w:rPr>
        <w:t>) uzturēt</w:t>
      </w:r>
      <w:r w:rsidR="004A62D3">
        <w:rPr>
          <w:rFonts w:eastAsia="Times New Roman"/>
          <w:szCs w:val="24"/>
        </w:rPr>
        <w:t>ās</w:t>
      </w:r>
      <w:r>
        <w:rPr>
          <w:rFonts w:eastAsia="Times New Roman"/>
          <w:szCs w:val="24"/>
        </w:rPr>
        <w:t xml:space="preserve"> </w:t>
      </w:r>
      <w:r w:rsidR="004A62D3">
        <w:rPr>
          <w:rFonts w:eastAsia="Times New Roman"/>
          <w:szCs w:val="24"/>
        </w:rPr>
        <w:t xml:space="preserve"> Veterinārās e-veselības </w:t>
      </w:r>
      <w:r w:rsidR="00C311BC">
        <w:rPr>
          <w:rFonts w:eastAsia="Times New Roman"/>
          <w:szCs w:val="24"/>
        </w:rPr>
        <w:t xml:space="preserve">informācijas </w:t>
      </w:r>
      <w:r w:rsidR="004A62D3">
        <w:rPr>
          <w:rFonts w:eastAsia="Times New Roman"/>
          <w:szCs w:val="24"/>
        </w:rPr>
        <w:t>sistēmas “</w:t>
      </w:r>
      <w:r w:rsidR="00C311BC">
        <w:rPr>
          <w:rFonts w:eastAsia="Times New Roman"/>
          <w:szCs w:val="24"/>
        </w:rPr>
        <w:t>eVETIS</w:t>
      </w:r>
      <w:r w:rsidR="004A62D3">
        <w:rPr>
          <w:rFonts w:eastAsia="Times New Roman"/>
          <w:szCs w:val="24"/>
        </w:rPr>
        <w:t>”</w:t>
      </w:r>
      <w:r>
        <w:rPr>
          <w:rFonts w:eastAsia="Times New Roman"/>
          <w:szCs w:val="24"/>
        </w:rPr>
        <w:t xml:space="preserve"> (turpmāk – </w:t>
      </w:r>
      <w:r w:rsidR="00C311BC">
        <w:rPr>
          <w:rFonts w:eastAsia="Times New Roman"/>
          <w:szCs w:val="24"/>
        </w:rPr>
        <w:t>eVETIS</w:t>
      </w:r>
      <w:r>
        <w:rPr>
          <w:rFonts w:eastAsia="Times New Roman"/>
          <w:szCs w:val="24"/>
        </w:rPr>
        <w:t>)</w:t>
      </w:r>
      <w:r w:rsidR="004A62D3">
        <w:rPr>
          <w:rFonts w:eastAsia="Times New Roman"/>
          <w:szCs w:val="24"/>
        </w:rPr>
        <w:t xml:space="preserve"> datu apmaiņas servisiem (API)</w:t>
      </w:r>
      <w:r w:rsidRPr="00231E8F">
        <w:rPr>
          <w:rFonts w:eastAsia="Times New Roman"/>
          <w:szCs w:val="24"/>
        </w:rPr>
        <w:t>:</w:t>
      </w:r>
    </w:p>
    <w:p w14:paraId="0CB9874E" w14:textId="77777777" w:rsidR="00FA14A1" w:rsidRPr="00231E8F" w:rsidRDefault="00FA14A1" w:rsidP="00FA14A1">
      <w:pPr>
        <w:widowControl/>
        <w:spacing w:after="0" w:line="240" w:lineRule="auto"/>
        <w:ind w:firstLine="567"/>
        <w:jc w:val="both"/>
        <w:rPr>
          <w:rFonts w:eastAsia="Times New Roman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FA14A1" w14:paraId="507C2ADB" w14:textId="77777777" w:rsidTr="00314D2F">
        <w:trPr>
          <w:jc w:val="center"/>
        </w:trPr>
        <w:tc>
          <w:tcPr>
            <w:tcW w:w="9344" w:type="dxa"/>
          </w:tcPr>
          <w:p w14:paraId="44886EA9" w14:textId="77777777" w:rsidR="00FA14A1" w:rsidRPr="00317252" w:rsidRDefault="00FA14A1" w:rsidP="00A73B7D">
            <w:pPr>
              <w:pStyle w:val="NewOldNormal"/>
              <w:spacing w:line="240" w:lineRule="auto"/>
              <w:jc w:val="both"/>
            </w:pPr>
          </w:p>
          <w:p w14:paraId="410A337E" w14:textId="416A2601" w:rsidR="00FA14A1" w:rsidRPr="000E7EE4" w:rsidRDefault="00FA14A1" w:rsidP="00FA14A1">
            <w:pPr>
              <w:pStyle w:val="NewOldNormal"/>
              <w:numPr>
                <w:ilvl w:val="0"/>
                <w:numId w:val="1"/>
              </w:numPr>
              <w:spacing w:line="240" w:lineRule="auto"/>
              <w:jc w:val="both"/>
              <w:rPr>
                <w:b/>
                <w:bCs/>
              </w:rPr>
            </w:pPr>
            <w:r w:rsidRPr="00317252">
              <w:rPr>
                <w:b/>
                <w:bCs/>
              </w:rPr>
              <w:t>Informācija par iestādi</w:t>
            </w:r>
            <w:r>
              <w:rPr>
                <w:b/>
                <w:bCs/>
              </w:rPr>
              <w:t>/</w:t>
            </w:r>
            <w:r w:rsidR="004A62D3">
              <w:rPr>
                <w:b/>
                <w:bCs/>
              </w:rPr>
              <w:t xml:space="preserve">juridisku </w:t>
            </w:r>
            <w:r>
              <w:rPr>
                <w:b/>
                <w:bCs/>
              </w:rPr>
              <w:t>personu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357"/>
              <w:gridCol w:w="5348"/>
            </w:tblGrid>
            <w:tr w:rsidR="00FA14A1" w14:paraId="2D0AC7C6" w14:textId="77777777" w:rsidTr="00A73B7D">
              <w:trPr>
                <w:trHeight w:val="278"/>
                <w:jc w:val="center"/>
              </w:trPr>
              <w:tc>
                <w:tcPr>
                  <w:tcW w:w="335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14:paraId="3F664A68" w14:textId="564BCF88" w:rsidR="00FA14A1" w:rsidRPr="00317252" w:rsidRDefault="00FA14A1" w:rsidP="00A73B7D">
                  <w:pPr>
                    <w:pStyle w:val="NewOldNormal"/>
                    <w:spacing w:line="240" w:lineRule="auto"/>
                    <w:jc w:val="both"/>
                    <w:rPr>
                      <w:highlight w:val="yellow"/>
                    </w:rPr>
                  </w:pPr>
                  <w:r w:rsidRPr="00317252">
                    <w:t>Juridiskas personas nosaukums</w:t>
                  </w:r>
                  <w:r>
                    <w:t xml:space="preserve"> (turpmāk – Iestāde</w:t>
                  </w:r>
                  <w:r w:rsidR="004A62D3">
                    <w:t>/</w:t>
                  </w:r>
                  <w:r w:rsidR="00235BA5">
                    <w:t>Juridiska p</w:t>
                  </w:r>
                  <w:r w:rsidR="004A62D3">
                    <w:t>ersona</w:t>
                  </w:r>
                  <w:r>
                    <w:t>)</w:t>
                  </w:r>
                </w:p>
              </w:tc>
              <w:tc>
                <w:tcPr>
                  <w:tcW w:w="534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52414542" w14:textId="416AD6E4" w:rsidR="00FA14A1" w:rsidRPr="00317252" w:rsidRDefault="00FA14A1" w:rsidP="00A73B7D">
                  <w:pPr>
                    <w:pStyle w:val="NewOldNormal"/>
                    <w:spacing w:line="240" w:lineRule="auto"/>
                    <w:rPr>
                      <w:highlight w:val="yellow"/>
                    </w:rPr>
                  </w:pPr>
                </w:p>
              </w:tc>
            </w:tr>
            <w:tr w:rsidR="00FA14A1" w14:paraId="35341AA0" w14:textId="77777777" w:rsidTr="00A73B7D">
              <w:trPr>
                <w:trHeight w:val="278"/>
                <w:jc w:val="center"/>
              </w:trPr>
              <w:tc>
                <w:tcPr>
                  <w:tcW w:w="335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14:paraId="119EC5C2" w14:textId="77777777" w:rsidR="00FA14A1" w:rsidRPr="00317252" w:rsidRDefault="00FA14A1" w:rsidP="00A73B7D">
                  <w:pPr>
                    <w:pStyle w:val="NewOldNormal"/>
                    <w:spacing w:line="240" w:lineRule="auto"/>
                    <w:jc w:val="both"/>
                    <w:rPr>
                      <w:highlight w:val="yellow"/>
                    </w:rPr>
                  </w:pPr>
                  <w:r w:rsidRPr="00317252">
                    <w:t>Reģistrācijas numurs</w:t>
                  </w:r>
                </w:p>
              </w:tc>
              <w:tc>
                <w:tcPr>
                  <w:tcW w:w="534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13155A41" w14:textId="3AC2CE48" w:rsidR="00FA14A1" w:rsidRPr="00317252" w:rsidRDefault="00FA14A1" w:rsidP="00A73B7D">
                  <w:pPr>
                    <w:pStyle w:val="NewOldNormal"/>
                    <w:spacing w:line="240" w:lineRule="auto"/>
                    <w:rPr>
                      <w:highlight w:val="yellow"/>
                    </w:rPr>
                  </w:pPr>
                </w:p>
              </w:tc>
            </w:tr>
            <w:tr w:rsidR="00FA14A1" w14:paraId="26E17C23" w14:textId="77777777" w:rsidTr="00A73B7D">
              <w:trPr>
                <w:trHeight w:val="278"/>
                <w:jc w:val="center"/>
              </w:trPr>
              <w:tc>
                <w:tcPr>
                  <w:tcW w:w="33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14:paraId="2AEE29A5" w14:textId="5CE6E205" w:rsidR="00FA14A1" w:rsidRDefault="00FA14A1" w:rsidP="00A73B7D">
                  <w:pPr>
                    <w:pStyle w:val="NewOldNormal"/>
                    <w:spacing w:line="240" w:lineRule="auto"/>
                    <w:jc w:val="both"/>
                  </w:pPr>
                  <w:r>
                    <w:t>Informācijas sistēmas, kas saņems</w:t>
                  </w:r>
                  <w:r w:rsidR="004A62D3">
                    <w:t>/nodos</w:t>
                  </w:r>
                  <w:r>
                    <w:t xml:space="preserve"> datus, nosaukums </w:t>
                  </w:r>
                </w:p>
              </w:tc>
              <w:tc>
                <w:tcPr>
                  <w:tcW w:w="5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C0574A" w14:textId="5E7077BF" w:rsidR="00FA14A1" w:rsidRPr="007D4363" w:rsidRDefault="00FA14A1" w:rsidP="00A73B7D">
                  <w:pPr>
                    <w:pStyle w:val="NewOldNormal"/>
                    <w:spacing w:line="240" w:lineRule="auto"/>
                    <w:rPr>
                      <w:i/>
                      <w:iCs/>
                    </w:rPr>
                  </w:pPr>
                </w:p>
              </w:tc>
            </w:tr>
            <w:tr w:rsidR="00FA14A1" w14:paraId="1398A478" w14:textId="77777777" w:rsidTr="00A73B7D">
              <w:trPr>
                <w:trHeight w:val="278"/>
                <w:jc w:val="center"/>
              </w:trPr>
              <w:tc>
                <w:tcPr>
                  <w:tcW w:w="33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14:paraId="1C6DCED0" w14:textId="77777777" w:rsidR="00FA14A1" w:rsidRPr="00317252" w:rsidRDefault="00FA14A1" w:rsidP="00A73B7D">
                  <w:pPr>
                    <w:pStyle w:val="NewOldNormal"/>
                    <w:spacing w:line="240" w:lineRule="auto"/>
                    <w:jc w:val="both"/>
                  </w:pPr>
                  <w:r w:rsidRPr="00317252">
                    <w:t>Kontaktpersona (vārds, uzvārds,</w:t>
                  </w:r>
                  <w:r>
                    <w:t xml:space="preserve"> amats, tālrunis </w:t>
                  </w:r>
                  <w:r w:rsidRPr="00317252">
                    <w:t>(</w:t>
                  </w:r>
                  <w:r w:rsidRPr="00317252">
                    <w:rPr>
                      <w:i/>
                      <w:iCs/>
                    </w:rPr>
                    <w:t>uz kuru tiks nosūtīta parole</w:t>
                  </w:r>
                  <w:r w:rsidRPr="00317252">
                    <w:t>)</w:t>
                  </w:r>
                  <w:r>
                    <w:t>,</w:t>
                  </w:r>
                  <w:r w:rsidRPr="00317252">
                    <w:t xml:space="preserve"> e-pasts</w:t>
                  </w:r>
                  <w:r>
                    <w:t>*</w:t>
                  </w:r>
                  <w:r w:rsidRPr="00317252">
                    <w:t>)</w:t>
                  </w:r>
                </w:p>
              </w:tc>
              <w:tc>
                <w:tcPr>
                  <w:tcW w:w="5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A3BD0E" w14:textId="1A36305F" w:rsidR="00FA14A1" w:rsidRPr="00317252" w:rsidRDefault="00FA14A1" w:rsidP="00A73B7D">
                  <w:pPr>
                    <w:pStyle w:val="NewOldNormal"/>
                    <w:spacing w:line="240" w:lineRule="auto"/>
                    <w:rPr>
                      <w:highlight w:val="yellow"/>
                    </w:rPr>
                  </w:pPr>
                </w:p>
              </w:tc>
            </w:tr>
            <w:tr w:rsidR="00FA14A1" w14:paraId="0A4C2659" w14:textId="77777777" w:rsidTr="00A73B7D">
              <w:trPr>
                <w:trHeight w:val="278"/>
                <w:jc w:val="center"/>
              </w:trPr>
              <w:tc>
                <w:tcPr>
                  <w:tcW w:w="33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14:paraId="61EA5606" w14:textId="77777777" w:rsidR="00FA14A1" w:rsidRPr="00317252" w:rsidRDefault="00FA14A1" w:rsidP="00A73B7D">
                  <w:pPr>
                    <w:pStyle w:val="NewOldNormal"/>
                    <w:spacing w:line="240" w:lineRule="auto"/>
                    <w:jc w:val="both"/>
                  </w:pPr>
                  <w:r w:rsidRPr="00CF5305">
                    <w:t>Vide (Testa / Produkcijas)</w:t>
                  </w:r>
                </w:p>
              </w:tc>
              <w:tc>
                <w:tcPr>
                  <w:tcW w:w="5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F31A7D" w14:textId="2BEA6F80" w:rsidR="00FA14A1" w:rsidRDefault="00FA14A1" w:rsidP="00A73B7D">
                  <w:pPr>
                    <w:pStyle w:val="NewOldNormal"/>
                    <w:spacing w:line="240" w:lineRule="auto"/>
                  </w:pPr>
                </w:p>
              </w:tc>
            </w:tr>
            <w:tr w:rsidR="00FA14A1" w14:paraId="1E5637C8" w14:textId="77777777" w:rsidTr="00A73B7D">
              <w:trPr>
                <w:trHeight w:val="278"/>
                <w:jc w:val="center"/>
              </w:trPr>
              <w:tc>
                <w:tcPr>
                  <w:tcW w:w="33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14:paraId="2667DE67" w14:textId="77777777" w:rsidR="00FA14A1" w:rsidRPr="00317252" w:rsidRDefault="00FA14A1" w:rsidP="00A73B7D">
                  <w:pPr>
                    <w:pStyle w:val="NewOldNormal"/>
                    <w:spacing w:line="240" w:lineRule="auto"/>
                    <w:jc w:val="both"/>
                  </w:pPr>
                  <w:r w:rsidRPr="00CF5305">
                    <w:t>Aktivitāte (Piešķirt/Anulēt)</w:t>
                  </w:r>
                </w:p>
              </w:tc>
              <w:tc>
                <w:tcPr>
                  <w:tcW w:w="5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CBE67D" w14:textId="5BC443CF" w:rsidR="00FA14A1" w:rsidRDefault="00FA14A1" w:rsidP="00A73B7D">
                  <w:pPr>
                    <w:pStyle w:val="NewOldNormal"/>
                    <w:spacing w:line="240" w:lineRule="auto"/>
                  </w:pPr>
                </w:p>
              </w:tc>
            </w:tr>
            <w:tr w:rsidR="00FA14A1" w14:paraId="539CB009" w14:textId="77777777" w:rsidTr="00A73B7D">
              <w:trPr>
                <w:trHeight w:val="278"/>
                <w:jc w:val="center"/>
              </w:trPr>
              <w:tc>
                <w:tcPr>
                  <w:tcW w:w="8705" w:type="dxa"/>
                  <w:gridSpan w:val="2"/>
                  <w:tcBorders>
                    <w:top w:val="single" w:sz="4" w:space="0" w:color="auto"/>
                    <w:left w:val="nil"/>
                    <w:right w:val="nil"/>
                  </w:tcBorders>
                </w:tcPr>
                <w:p w14:paraId="53E80E59" w14:textId="77777777" w:rsidR="00FA14A1" w:rsidRDefault="00FA14A1" w:rsidP="00A73B7D">
                  <w:pPr>
                    <w:pStyle w:val="NewOldNormal"/>
                    <w:spacing w:line="240" w:lineRule="auto"/>
                    <w:jc w:val="both"/>
                    <w:rPr>
                      <w:sz w:val="20"/>
                      <w:szCs w:val="20"/>
                    </w:rPr>
                  </w:pPr>
                  <w:r>
                    <w:t>*N</w:t>
                  </w:r>
                  <w:r w:rsidRPr="00595A86">
                    <w:rPr>
                      <w:sz w:val="20"/>
                      <w:szCs w:val="20"/>
                    </w:rPr>
                    <w:t>orādīt</w:t>
                  </w:r>
                  <w:r>
                    <w:rPr>
                      <w:sz w:val="20"/>
                      <w:szCs w:val="20"/>
                    </w:rPr>
                    <w:t>ā</w:t>
                  </w:r>
                  <w:r w:rsidRPr="00595A86">
                    <w:rPr>
                      <w:sz w:val="20"/>
                      <w:szCs w:val="20"/>
                    </w:rPr>
                    <w:t xml:space="preserve"> e-past</w:t>
                  </w:r>
                  <w:r>
                    <w:rPr>
                      <w:sz w:val="20"/>
                      <w:szCs w:val="20"/>
                    </w:rPr>
                    <w:t>a adrese</w:t>
                  </w:r>
                  <w:r w:rsidRPr="00595A86">
                    <w:rPr>
                      <w:sz w:val="20"/>
                      <w:szCs w:val="20"/>
                    </w:rPr>
                    <w:t xml:space="preserve"> tiks </w:t>
                  </w:r>
                  <w:r>
                    <w:rPr>
                      <w:sz w:val="20"/>
                      <w:szCs w:val="20"/>
                    </w:rPr>
                    <w:t>izmantota</w:t>
                  </w:r>
                  <w:r w:rsidRPr="00595A86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informēšanai</w:t>
                  </w:r>
                  <w:r w:rsidRPr="00595A86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par </w:t>
                  </w:r>
                  <w:r w:rsidRPr="00595A86">
                    <w:rPr>
                      <w:sz w:val="20"/>
                      <w:szCs w:val="20"/>
                    </w:rPr>
                    <w:t xml:space="preserve">piekļuvju piešķiršanu/anulēšanu, plānotajiem, neplānotajiem sistēmas darbības pārtraukumiem, kā arī </w:t>
                  </w:r>
                  <w:r>
                    <w:rPr>
                      <w:sz w:val="20"/>
                      <w:szCs w:val="20"/>
                    </w:rPr>
                    <w:t xml:space="preserve">saziņai </w:t>
                  </w:r>
                  <w:r w:rsidRPr="00595A86">
                    <w:rPr>
                      <w:sz w:val="20"/>
                      <w:szCs w:val="20"/>
                    </w:rPr>
                    <w:t>cit</w:t>
                  </w:r>
                  <w:r>
                    <w:rPr>
                      <w:sz w:val="20"/>
                      <w:szCs w:val="20"/>
                    </w:rPr>
                    <w:t>os</w:t>
                  </w:r>
                  <w:r w:rsidRPr="00595A86">
                    <w:rPr>
                      <w:sz w:val="20"/>
                      <w:szCs w:val="20"/>
                    </w:rPr>
                    <w:t xml:space="preserve"> ar </w:t>
                  </w:r>
                  <w:r w:rsidR="00C311BC">
                    <w:rPr>
                      <w:sz w:val="20"/>
                      <w:szCs w:val="20"/>
                    </w:rPr>
                    <w:t>PVD eVETIS</w:t>
                  </w:r>
                  <w:r w:rsidRPr="00595A86">
                    <w:rPr>
                      <w:sz w:val="20"/>
                      <w:szCs w:val="20"/>
                    </w:rPr>
                    <w:t xml:space="preserve"> saistītos jautājumos.</w:t>
                  </w:r>
                </w:p>
                <w:p w14:paraId="080033AA" w14:textId="77777777" w:rsidR="00916D75" w:rsidRDefault="00916D75" w:rsidP="00A73B7D">
                  <w:pPr>
                    <w:pStyle w:val="NewOldNormal"/>
                    <w:spacing w:line="240" w:lineRule="auto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**API apraksti un atbilžu piemēri pieejami </w:t>
                  </w:r>
                  <w:hyperlink r:id="rId6" w:history="1">
                    <w:r w:rsidR="00DC02CB" w:rsidRPr="00DC02CB">
                      <w:rPr>
                        <w:rStyle w:val="Hipersaite"/>
                        <w:sz w:val="20"/>
                        <w:szCs w:val="20"/>
                      </w:rPr>
                      <w:t>https://evetis-</w:t>
                    </w:r>
                    <w:r w:rsidR="00DC02CB" w:rsidRPr="00DC02CB">
                      <w:rPr>
                        <w:rStyle w:val="Hipersaite"/>
                      </w:rPr>
                      <w:t>api</w:t>
                    </w:r>
                    <w:r w:rsidR="00DC02CB" w:rsidRPr="00DC02CB">
                      <w:rPr>
                        <w:rStyle w:val="Hipersaite"/>
                        <w:sz w:val="20"/>
                        <w:szCs w:val="20"/>
                      </w:rPr>
                      <w:t>-test.pvd.gov.lv/scalar/v1/</w:t>
                    </w:r>
                  </w:hyperlink>
                  <w:r>
                    <w:rPr>
                      <w:sz w:val="20"/>
                      <w:szCs w:val="20"/>
                    </w:rPr>
                    <w:t xml:space="preserve"> vai </w:t>
                  </w:r>
                  <w:hyperlink r:id="rId7" w:history="1">
                    <w:r w:rsidR="00DC02CB" w:rsidRPr="00410126">
                      <w:rPr>
                        <w:rStyle w:val="Hipersaite"/>
                        <w:sz w:val="20"/>
                        <w:szCs w:val="20"/>
                      </w:rPr>
                      <w:t>https://evetis-api.pvd.gov.lv/scalar/v1</w:t>
                    </w:r>
                  </w:hyperlink>
                  <w:r w:rsidR="00DC02CB">
                    <w:rPr>
                      <w:sz w:val="20"/>
                      <w:szCs w:val="20"/>
                    </w:rPr>
                    <w:t xml:space="preserve"> </w:t>
                  </w:r>
                </w:p>
                <w:p w14:paraId="6CA6BC8F" w14:textId="0421B820" w:rsidR="00337876" w:rsidRPr="00337876" w:rsidRDefault="00337876" w:rsidP="00A73B7D">
                  <w:pPr>
                    <w:pStyle w:val="NewOldNormal"/>
                    <w:spacing w:line="240" w:lineRule="auto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3D1A2D4D" w14:textId="77777777" w:rsidR="00FA14A1" w:rsidRPr="00A839F6" w:rsidRDefault="00FA14A1" w:rsidP="00FA14A1">
            <w:pPr>
              <w:pStyle w:val="NewOldNormal"/>
              <w:numPr>
                <w:ilvl w:val="0"/>
                <w:numId w:val="1"/>
              </w:numPr>
              <w:spacing w:line="240" w:lineRule="auto"/>
              <w:jc w:val="both"/>
              <w:rPr>
                <w:b/>
                <w:bCs/>
              </w:rPr>
            </w:pPr>
            <w:r w:rsidRPr="00A839F6">
              <w:rPr>
                <w:b/>
                <w:bCs/>
              </w:rPr>
              <w:t xml:space="preserve">Informācija par </w:t>
            </w:r>
            <w:proofErr w:type="spellStart"/>
            <w:r w:rsidRPr="00A839F6">
              <w:rPr>
                <w:b/>
                <w:bCs/>
              </w:rPr>
              <w:t>pieslēgumu</w:t>
            </w:r>
            <w:proofErr w:type="spellEnd"/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746"/>
            </w:tblGrid>
            <w:tr w:rsidR="00FA14A1" w14:paraId="6E920AFC" w14:textId="77777777" w:rsidTr="00A73B7D">
              <w:trPr>
                <w:jc w:val="center"/>
              </w:trPr>
              <w:tc>
                <w:tcPr>
                  <w:tcW w:w="8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hideMark/>
                </w:tcPr>
                <w:p w14:paraId="3048A942" w14:textId="391BBE0E" w:rsidR="00FA14A1" w:rsidRPr="00317252" w:rsidRDefault="00FA14A1" w:rsidP="00A73B7D">
                  <w:pPr>
                    <w:pStyle w:val="NewOldNormal"/>
                    <w:spacing w:line="240" w:lineRule="auto"/>
                  </w:pPr>
                  <w:r>
                    <w:t>N</w:t>
                  </w:r>
                  <w:r w:rsidRPr="00317252">
                    <w:t xml:space="preserve">orādiet </w:t>
                  </w:r>
                  <w:r w:rsidRPr="00317252">
                    <w:rPr>
                      <w:b/>
                      <w:bCs/>
                    </w:rPr>
                    <w:t>statisku</w:t>
                  </w:r>
                  <w:r w:rsidRPr="00317252">
                    <w:t xml:space="preserve"> IP adresi (-es), no kuras (-</w:t>
                  </w:r>
                  <w:proofErr w:type="spellStart"/>
                  <w:r w:rsidRPr="00317252">
                    <w:t>ām</w:t>
                  </w:r>
                  <w:proofErr w:type="spellEnd"/>
                  <w:r w:rsidRPr="00317252">
                    <w:t>) tiks veikt</w:t>
                  </w:r>
                  <w:r>
                    <w:t xml:space="preserve">a </w:t>
                  </w:r>
                  <w:r w:rsidR="001F4DB6">
                    <w:t xml:space="preserve">PVD eVETIS </w:t>
                  </w:r>
                  <w:r w:rsidR="001F4DB6" w:rsidRPr="00317252">
                    <w:t xml:space="preserve"> </w:t>
                  </w:r>
                  <w:r w:rsidR="001F4DB6">
                    <w:t xml:space="preserve">datu apmaiņas servisu </w:t>
                  </w:r>
                  <w:r>
                    <w:t xml:space="preserve">pieprasījumu </w:t>
                  </w:r>
                  <w:r w:rsidRPr="00317252">
                    <w:t>izsaukšana</w:t>
                  </w:r>
                  <w:r>
                    <w:t xml:space="preserve"> </w:t>
                  </w:r>
                  <w:r w:rsidR="001F4DB6">
                    <w:t xml:space="preserve">pieprasītajā </w:t>
                  </w:r>
                  <w:r>
                    <w:t>vidē</w:t>
                  </w:r>
                  <w:r w:rsidRPr="00317252">
                    <w:t>:</w:t>
                  </w:r>
                </w:p>
              </w:tc>
            </w:tr>
            <w:tr w:rsidR="00FA14A1" w14:paraId="1DBDA6BE" w14:textId="77777777" w:rsidTr="00A73B7D">
              <w:trPr>
                <w:trHeight w:val="381"/>
                <w:jc w:val="center"/>
              </w:trPr>
              <w:tc>
                <w:tcPr>
                  <w:tcW w:w="8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BC66B8" w14:textId="77777777" w:rsidR="00FA14A1" w:rsidRPr="00231E8F" w:rsidRDefault="00FA14A1" w:rsidP="00A73B7D">
                  <w:pPr>
                    <w:pStyle w:val="NewOldNormal"/>
                    <w:spacing w:line="240" w:lineRule="auto"/>
                    <w:rPr>
                      <w:b/>
                    </w:rPr>
                  </w:pPr>
                  <w:r>
                    <w:rPr>
                      <w:rFonts w:ascii="Tahoma" w:hAnsi="Tahoma" w:cs="Tahoma"/>
                      <w:b/>
                      <w:color w:val="000000"/>
                      <w:sz w:val="20"/>
                      <w:szCs w:val="16"/>
                    </w:rPr>
                    <w:t>-</w:t>
                  </w:r>
                </w:p>
              </w:tc>
            </w:tr>
          </w:tbl>
          <w:p w14:paraId="0FB29148" w14:textId="77777777" w:rsidR="00FA14A1" w:rsidRPr="00317252" w:rsidRDefault="00FA14A1" w:rsidP="00A73B7D">
            <w:pPr>
              <w:spacing w:after="240"/>
              <w:jc w:val="center"/>
              <w:rPr>
                <w:i/>
                <w:sz w:val="18"/>
                <w:szCs w:val="18"/>
              </w:rPr>
            </w:pPr>
          </w:p>
        </w:tc>
      </w:tr>
    </w:tbl>
    <w:p w14:paraId="307E9F2F" w14:textId="5DFFCF85" w:rsidR="00A328D6" w:rsidRDefault="00314D2F" w:rsidP="00FA14A1">
      <w:pPr>
        <w:spacing w:before="240"/>
        <w:jc w:val="both"/>
      </w:pPr>
      <w:r w:rsidRPr="00231E8F">
        <w:t>Iestāde</w:t>
      </w:r>
      <w:r>
        <w:t xml:space="preserve">/Juridiska persona ir informēta, ka </w:t>
      </w:r>
      <w:r w:rsidRPr="00314D2F">
        <w:t>piekļuves tiesību piešķiršan</w:t>
      </w:r>
      <w:r>
        <w:t>a</w:t>
      </w:r>
      <w:r w:rsidRPr="00314D2F">
        <w:t xml:space="preserve"> Veterinārās e-veselības informācijas sistēmas “eVETIS”</w:t>
      </w:r>
      <w:r w:rsidR="00D32393">
        <w:t xml:space="preserve"> produkcijas vides</w:t>
      </w:r>
      <w:r>
        <w:t xml:space="preserve"> </w:t>
      </w:r>
      <w:r w:rsidRPr="00314D2F">
        <w:t>datu apmaiņas servisiem (API)</w:t>
      </w:r>
      <w:r>
        <w:t xml:space="preserve">, tiks nodrošinātas tikai pēc PVD rakstiska saskaņojuma, saskaņā ar </w:t>
      </w:r>
      <w:r w:rsidRPr="00314D2F">
        <w:t>2025.gada 16.decembra noteikumu Nr.775 “Informācijas apkopošanas un statistikas veidošanas noteikumi veterināro zāļu aprites jomā” 13</w:t>
      </w:r>
      <w:r>
        <w:t>.</w:t>
      </w:r>
      <w:r w:rsidRPr="00314D2F">
        <w:t>punktu</w:t>
      </w:r>
      <w:r>
        <w:t>.</w:t>
      </w:r>
    </w:p>
    <w:p w14:paraId="4684FA23" w14:textId="78FDB495" w:rsidR="00FA14A1" w:rsidRDefault="00FA14A1" w:rsidP="00FA14A1">
      <w:pPr>
        <w:spacing w:before="240"/>
        <w:jc w:val="both"/>
      </w:pPr>
      <w:r w:rsidRPr="00231E8F">
        <w:t>Iestāde</w:t>
      </w:r>
      <w:r w:rsidR="001F4DB6">
        <w:t>/Juridiska persona</w:t>
      </w:r>
      <w:r w:rsidRPr="00231E8F">
        <w:t xml:space="preserve"> </w:t>
      </w:r>
      <w:r>
        <w:t xml:space="preserve">saņemot pieeju </w:t>
      </w:r>
      <w:r w:rsidR="00C311BC">
        <w:t>PVD eVETIS informācijas sistēma</w:t>
      </w:r>
      <w:r w:rsidR="001F4DB6">
        <w:t>s datu apmaiņas servisiem</w:t>
      </w:r>
      <w:r>
        <w:t>:</w:t>
      </w:r>
    </w:p>
    <w:p w14:paraId="767CDDBD" w14:textId="77777777" w:rsidR="00FA14A1" w:rsidRPr="000E7EE4" w:rsidRDefault="00FA14A1" w:rsidP="00FA14A1">
      <w:pPr>
        <w:numPr>
          <w:ilvl w:val="0"/>
          <w:numId w:val="2"/>
        </w:numPr>
        <w:spacing w:after="0"/>
        <w:ind w:left="714" w:hanging="357"/>
        <w:jc w:val="both"/>
      </w:pPr>
      <w:r w:rsidRPr="000E7EE4">
        <w:t>nodrošin</w:t>
      </w:r>
      <w:r>
        <w:t>a</w:t>
      </w:r>
      <w:r w:rsidRPr="000E7EE4">
        <w:t>, ka iegūtā informācija nekādā veidā (piem., to kopējot vai pavairojot) netiek izpausta vai nodota trešajām personām</w:t>
      </w:r>
      <w:r>
        <w:t xml:space="preserve"> izņemot normatīvajos aktos noteiktajos gadījumos;</w:t>
      </w:r>
    </w:p>
    <w:p w14:paraId="2F539160" w14:textId="21579BB0" w:rsidR="00FA14A1" w:rsidRPr="000E7EE4" w:rsidRDefault="00FA14A1" w:rsidP="00FA14A1">
      <w:pPr>
        <w:numPr>
          <w:ilvl w:val="0"/>
          <w:numId w:val="2"/>
        </w:numPr>
        <w:spacing w:after="0"/>
        <w:ind w:left="714" w:hanging="357"/>
        <w:jc w:val="both"/>
      </w:pPr>
      <w:r w:rsidRPr="000E7EE4">
        <w:t>nodrošin</w:t>
      </w:r>
      <w:r>
        <w:t>a</w:t>
      </w:r>
      <w:r w:rsidRPr="000E7EE4">
        <w:t>, ka personas datu apstrāde</w:t>
      </w:r>
      <w:r>
        <w:t xml:space="preserve">, kas tiek veikta, saņemot datus no </w:t>
      </w:r>
      <w:r w:rsidR="00C311BC">
        <w:t>PVD eVETIS</w:t>
      </w:r>
      <w:r>
        <w:t>,</w:t>
      </w:r>
      <w:r w:rsidRPr="000E7EE4">
        <w:t xml:space="preserve"> tiek </w:t>
      </w:r>
      <w:r w:rsidRPr="000E7EE4">
        <w:lastRenderedPageBreak/>
        <w:t xml:space="preserve">īstenota saskaņā ar </w:t>
      </w:r>
      <w:r w:rsidRPr="00985ED0">
        <w:t>Eiropas Parlamenta un Padomes Regul</w:t>
      </w:r>
      <w:r>
        <w:t>u</w:t>
      </w:r>
      <w:r w:rsidRPr="00985ED0">
        <w:t xml:space="preserve"> (ES) 2016/679 (2016. gada 27.</w:t>
      </w:r>
      <w:r>
        <w:t> </w:t>
      </w:r>
      <w:r w:rsidRPr="00985ED0">
        <w:t>aprīlis) par fizisku personu aizsardzību attiecībā uz personas datu apstrādi un šādu datu brīvu apriti un ar ko atceļ Direktīvu 95/46/EK (Vispārīgā datu aizsardzības regula)</w:t>
      </w:r>
      <w:r>
        <w:t xml:space="preserve"> (turpmāk – Regula)</w:t>
      </w:r>
      <w:r w:rsidRPr="000E7EE4">
        <w:t xml:space="preserve"> un citiem normatīviem aktiem personas datu aizsardzības jomā;</w:t>
      </w:r>
    </w:p>
    <w:p w14:paraId="33FCD123" w14:textId="63795D36" w:rsidR="00FA14A1" w:rsidRPr="000E7EE4" w:rsidRDefault="00FA14A1" w:rsidP="00FA14A1">
      <w:pPr>
        <w:numPr>
          <w:ilvl w:val="0"/>
          <w:numId w:val="2"/>
        </w:numPr>
        <w:spacing w:after="0"/>
        <w:ind w:left="714" w:hanging="357"/>
        <w:jc w:val="both"/>
      </w:pPr>
      <w:r w:rsidRPr="000E7EE4">
        <w:t>nekavējoties informē</w:t>
      </w:r>
      <w:r>
        <w:t>s</w:t>
      </w:r>
      <w:r w:rsidRPr="000E7EE4">
        <w:t xml:space="preserve"> </w:t>
      </w:r>
      <w:r w:rsidR="00C311BC">
        <w:t xml:space="preserve">PVD </w:t>
      </w:r>
      <w:r w:rsidRPr="000E7EE4">
        <w:t>par</w:t>
      </w:r>
      <w:r w:rsidR="001F4DB6">
        <w:t xml:space="preserve"> eVETIS API</w:t>
      </w:r>
      <w:r w:rsidRPr="000E7EE4">
        <w:t xml:space="preserve"> konstatētajiem drošības incidentiem, kas radušies </w:t>
      </w:r>
      <w:r>
        <w:t>Iestādes</w:t>
      </w:r>
      <w:r w:rsidRPr="000E7EE4">
        <w:t xml:space="preserve"> pusē un apdraud </w:t>
      </w:r>
      <w:r w:rsidR="00C311BC">
        <w:t>PVD eVETIS</w:t>
      </w:r>
      <w:r w:rsidR="001F4DB6">
        <w:t xml:space="preserve"> un Pieteicēja informācijas sistēmas</w:t>
      </w:r>
      <w:r w:rsidR="00C311BC">
        <w:t xml:space="preserve"> </w:t>
      </w:r>
      <w:r w:rsidRPr="000E7EE4">
        <w:t>datu konfidencialitāti, integritāti, pieejamību vai sistēmas drošību</w:t>
      </w:r>
      <w:r>
        <w:t xml:space="preserve">, rakstot </w:t>
      </w:r>
      <w:r w:rsidR="00C311BC">
        <w:t xml:space="preserve">uz </w:t>
      </w:r>
      <w:hyperlink r:id="rId8" w:history="1">
        <w:r w:rsidR="00D32393" w:rsidRPr="00410126">
          <w:rPr>
            <w:rStyle w:val="Hipersaite"/>
          </w:rPr>
          <w:t>itsupport@pvd.gov.lv</w:t>
        </w:r>
      </w:hyperlink>
      <w:r w:rsidR="00D32393">
        <w:t xml:space="preserve"> </w:t>
      </w:r>
      <w:r>
        <w:t xml:space="preserve">vai zvanot </w:t>
      </w:r>
      <w:r w:rsidR="00916D75">
        <w:t>60727188</w:t>
      </w:r>
      <w:r>
        <w:t>.</w:t>
      </w:r>
    </w:p>
    <w:p w14:paraId="04F00D93" w14:textId="77777777" w:rsidR="00FA14A1" w:rsidRPr="000E7EE4" w:rsidRDefault="00FA14A1" w:rsidP="00FA14A1">
      <w:pPr>
        <w:numPr>
          <w:ilvl w:val="0"/>
          <w:numId w:val="2"/>
        </w:numPr>
        <w:spacing w:after="0"/>
        <w:ind w:left="714" w:hanging="357"/>
        <w:jc w:val="both"/>
      </w:pPr>
      <w:r w:rsidRPr="000E7EE4">
        <w:t xml:space="preserve">īsteno atbilstošus tehniskus un organizatoriskus pasākumus, lai nodrošinātu un spētu uzskatāmi parādīt, ka apstrāde notiek saskaņā ar </w:t>
      </w:r>
      <w:r>
        <w:t>Regulu</w:t>
      </w:r>
      <w:r w:rsidRPr="000E7EE4">
        <w:t>, kā arī atbilstīgu politiku attiecībā uz datu aizsardzību, ņemot vērā apstrādes raksturu, apmēru, kontekstu un nolūkus, kā arī dažādas iespējamības un nopietnības pakāpes riskus attiecībā uz fizisku personu tiesībām un brīvībām.</w:t>
      </w:r>
    </w:p>
    <w:p w14:paraId="08457C6C" w14:textId="08801511" w:rsidR="00FA14A1" w:rsidRDefault="00FA14A1" w:rsidP="00FA14A1">
      <w:pPr>
        <w:numPr>
          <w:ilvl w:val="0"/>
          <w:numId w:val="2"/>
        </w:numPr>
        <w:spacing w:after="0"/>
        <w:ind w:left="714" w:hanging="357"/>
        <w:jc w:val="both"/>
      </w:pPr>
      <w:r w:rsidRPr="000E7EE4">
        <w:t xml:space="preserve">ievēro, ka atbilstoši </w:t>
      </w:r>
      <w:r>
        <w:t>R</w:t>
      </w:r>
      <w:r w:rsidRPr="000E7EE4">
        <w:t>egulai</w:t>
      </w:r>
      <w:r>
        <w:t>,</w:t>
      </w:r>
      <w:r w:rsidRPr="000E7EE4">
        <w:t xml:space="preserve"> </w:t>
      </w:r>
      <w:r>
        <w:t>Iestāde</w:t>
      </w:r>
      <w:r w:rsidRPr="000E7EE4">
        <w:t xml:space="preserve"> personas datu apstrādē</w:t>
      </w:r>
      <w:r>
        <w:t xml:space="preserve">, kas izriet no datu saņemšanas no </w:t>
      </w:r>
      <w:r w:rsidR="00C311BC">
        <w:t>PVD eVETIS</w:t>
      </w:r>
      <w:r>
        <w:t xml:space="preserve">, </w:t>
      </w:r>
      <w:r w:rsidRPr="000E7EE4">
        <w:t xml:space="preserve">klasificējama kā </w:t>
      </w:r>
      <w:r w:rsidRPr="00A61B0E">
        <w:t>personas datu apstrādes pārzinis.</w:t>
      </w:r>
    </w:p>
    <w:p w14:paraId="6CC301AA" w14:textId="5AA3E97B" w:rsidR="00FA14A1" w:rsidRPr="003522ED" w:rsidRDefault="00FA14A1" w:rsidP="00FA14A1">
      <w:pPr>
        <w:numPr>
          <w:ilvl w:val="0"/>
          <w:numId w:val="2"/>
        </w:numPr>
        <w:spacing w:after="0"/>
        <w:ind w:left="714" w:hanging="357"/>
        <w:jc w:val="both"/>
      </w:pPr>
      <w:r w:rsidRPr="00E67025">
        <w:t xml:space="preserve">atbilstoši </w:t>
      </w:r>
      <w:r>
        <w:t>Regulas</w:t>
      </w:r>
      <w:r w:rsidRPr="00E67025">
        <w:t xml:space="preserve"> 14. panta prasībām, tā ir informējusi </w:t>
      </w:r>
      <w:r>
        <w:t xml:space="preserve">Iestādes attiecīgos pārstāvjus, </w:t>
      </w:r>
      <w:r w:rsidRPr="00E67025">
        <w:t>datu subjektu</w:t>
      </w:r>
      <w:r>
        <w:t>s,</w:t>
      </w:r>
      <w:r w:rsidRPr="00E67025">
        <w:t xml:space="preserve"> par to, ka</w:t>
      </w:r>
      <w:r>
        <w:t xml:space="preserve"> </w:t>
      </w:r>
      <w:r w:rsidRPr="003522ED">
        <w:t xml:space="preserve">veicot sistēmas pieprasījumus, kuros jānorāda gala lietotāja personas kodu un attiecīgajos gadījumos pārstāvētā lietotāja personas kodu, personas datu apstrādi veic </w:t>
      </w:r>
      <w:r w:rsidR="00C311BC">
        <w:t>Pārtikas un veterinārais dienests</w:t>
      </w:r>
      <w:r w:rsidRPr="003522ED">
        <w:t xml:space="preserve"> datu apstrādes pārziņa statusā ar mērķiem:</w:t>
      </w:r>
    </w:p>
    <w:p w14:paraId="1023CD13" w14:textId="77777777" w:rsidR="00FA14A1" w:rsidRDefault="00FA14A1" w:rsidP="00FA14A1">
      <w:pPr>
        <w:numPr>
          <w:ilvl w:val="1"/>
          <w:numId w:val="2"/>
        </w:numPr>
        <w:spacing w:after="0"/>
        <w:ind w:left="1134"/>
        <w:jc w:val="both"/>
      </w:pPr>
      <w:r w:rsidRPr="00E67025">
        <w:t>nodrošināt valsts informācijas sistēmas lietotāju identitātes un piekļuves tiesību pārbaudi (Valsts informācijas sistēmu likuma 10. panta 2. daļa) un</w:t>
      </w:r>
    </w:p>
    <w:p w14:paraId="487EFE2F" w14:textId="693A0E59" w:rsidR="00FA14A1" w:rsidRDefault="00FA14A1" w:rsidP="00FA14A1">
      <w:pPr>
        <w:numPr>
          <w:ilvl w:val="1"/>
          <w:numId w:val="2"/>
        </w:numPr>
        <w:spacing w:after="0"/>
        <w:ind w:left="1134"/>
        <w:jc w:val="both"/>
      </w:pPr>
      <w:r w:rsidRPr="00E67025">
        <w:t>nodrošināt pakalpojuma metadatu un personas identitātes apliecinājumu esamību izmeklēšanas vai pretenziju apstrādes gadījumiem (</w:t>
      </w:r>
      <w:r w:rsidR="00092809">
        <w:t xml:space="preserve">Ministru </w:t>
      </w:r>
      <w:r w:rsidR="00235BA5">
        <w:t>k</w:t>
      </w:r>
      <w:r w:rsidR="00092809">
        <w:t xml:space="preserve">abineta </w:t>
      </w:r>
      <w:r w:rsidR="00235BA5">
        <w:t xml:space="preserve">2025.gada 25.jūnija </w:t>
      </w:r>
      <w:r w:rsidR="00092809">
        <w:t xml:space="preserve">noteikumu Nr. 397 “Minimālās </w:t>
      </w:r>
      <w:proofErr w:type="spellStart"/>
      <w:r w:rsidR="00092809">
        <w:t>kiberdrošības</w:t>
      </w:r>
      <w:proofErr w:type="spellEnd"/>
      <w:r w:rsidR="00092809">
        <w:t xml:space="preserve"> prasības” 3.9</w:t>
      </w:r>
      <w:r w:rsidR="00235BA5">
        <w:t>.</w:t>
      </w:r>
      <w:r w:rsidR="00337876">
        <w:t>apakšnodaļa</w:t>
      </w:r>
      <w:r w:rsidRPr="00E67025">
        <w:t>).</w:t>
      </w:r>
    </w:p>
    <w:p w14:paraId="4AEA3853" w14:textId="3F7E157D" w:rsidR="00FA14A1" w:rsidRDefault="00FA14A1" w:rsidP="00FA14A1">
      <w:pPr>
        <w:numPr>
          <w:ilvl w:val="1"/>
          <w:numId w:val="2"/>
        </w:numPr>
        <w:spacing w:after="0"/>
        <w:ind w:left="1134"/>
        <w:jc w:val="both"/>
      </w:pPr>
      <w:r>
        <w:t>J</w:t>
      </w:r>
      <w:r w:rsidRPr="00E67025">
        <w:t xml:space="preserve">autājumos par personu datu apstrādi, tostarp par datu subjekta tiesību izmantošanu vai sūdzībām par personas datu izmantošanu konkrētajā datu apstrādes procesā, datu subjekts var sazināties ar </w:t>
      </w:r>
      <w:r w:rsidR="002302D4">
        <w:t>Pārtikas un vet</w:t>
      </w:r>
      <w:r w:rsidR="00973D2E">
        <w:t>erināro dienestu</w:t>
      </w:r>
      <w:r w:rsidRPr="00E67025">
        <w:t xml:space="preserve"> (kontaktinformācija </w:t>
      </w:r>
      <w:r w:rsidR="005D5E54">
        <w:t>67027575</w:t>
      </w:r>
      <w:r w:rsidRPr="00E67025">
        <w:t xml:space="preserve">) vai ar tās datu </w:t>
      </w:r>
      <w:r>
        <w:t>aizsardzības</w:t>
      </w:r>
      <w:r w:rsidRPr="00E67025">
        <w:t xml:space="preserve"> speciālistu:</w:t>
      </w:r>
      <w:r w:rsidR="00973D2E">
        <w:t xml:space="preserve"> </w:t>
      </w:r>
      <w:hyperlink r:id="rId9" w:history="1">
        <w:r w:rsidR="00973D2E" w:rsidRPr="005A5738">
          <w:rPr>
            <w:rStyle w:val="Hipersaite"/>
          </w:rPr>
          <w:t>das@pvd.gov.lv</w:t>
        </w:r>
      </w:hyperlink>
      <w:r w:rsidR="00973D2E">
        <w:t xml:space="preserve"> </w:t>
      </w:r>
      <w:r w:rsidRPr="00E67025">
        <w:t>;</w:t>
      </w:r>
    </w:p>
    <w:p w14:paraId="167FAD88" w14:textId="77777777" w:rsidR="00FA14A1" w:rsidRPr="003522ED" w:rsidRDefault="00FA14A1" w:rsidP="00FA14A1">
      <w:pPr>
        <w:numPr>
          <w:ilvl w:val="1"/>
          <w:numId w:val="2"/>
        </w:numPr>
        <w:spacing w:after="0"/>
        <w:ind w:left="1134"/>
        <w:jc w:val="both"/>
      </w:pPr>
      <w:r w:rsidRPr="003522ED">
        <w:t>ja datu subjekts uzskata, ka datu  lietošana pārkāpj tā tiesības un brīvību, datu subjektam ir tiesības iesniegt sūdzības par datu izmantošanu Datu valsts inspekcijai (</w:t>
      </w:r>
      <w:hyperlink r:id="rId10" w:history="1">
        <w:r w:rsidRPr="003522ED">
          <w:rPr>
            <w:rStyle w:val="Hipersaite"/>
          </w:rPr>
          <w:t>www.dvi.gov.lv</w:t>
        </w:r>
      </w:hyperlink>
      <w:r w:rsidRPr="003522ED">
        <w:t>).</w:t>
      </w:r>
    </w:p>
    <w:p w14:paraId="657C14C9" w14:textId="3C5F1C25" w:rsidR="00FA14A1" w:rsidRPr="00231E8F" w:rsidRDefault="00973D2E" w:rsidP="00973D2E">
      <w:pPr>
        <w:tabs>
          <w:tab w:val="left" w:pos="4678"/>
        </w:tabs>
        <w:spacing w:before="600" w:after="600" w:line="240" w:lineRule="auto"/>
      </w:pPr>
      <w:proofErr w:type="spellStart"/>
      <w:r>
        <w:t>Paraksttiesīgās</w:t>
      </w:r>
      <w:proofErr w:type="spellEnd"/>
      <w:r>
        <w:t xml:space="preserve"> personas amats</w:t>
      </w:r>
      <w:r w:rsidR="00FA14A1">
        <w:tab/>
      </w:r>
      <w:r w:rsidR="00FA14A1">
        <w:tab/>
      </w:r>
      <w:r w:rsidR="00FA14A1">
        <w:tab/>
      </w:r>
      <w:r w:rsidR="00FA14A1">
        <w:tab/>
      </w:r>
      <w:r w:rsidR="00FA14A1">
        <w:tab/>
      </w:r>
      <w:r w:rsidR="00FA14A1">
        <w:tab/>
      </w:r>
      <w:r>
        <w:t>Vārds Uzvārds</w:t>
      </w:r>
    </w:p>
    <w:p w14:paraId="33D944BD" w14:textId="563CAA9B" w:rsidR="00FA14A1" w:rsidRDefault="00973D2E" w:rsidP="00973D2E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Sagatavotājs</w:t>
      </w:r>
    </w:p>
    <w:p w14:paraId="0FF6113C" w14:textId="10349552" w:rsidR="00973D2E" w:rsidRDefault="00973D2E" w:rsidP="00973D2E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Vārds Uzvārds</w:t>
      </w:r>
    </w:p>
    <w:p w14:paraId="4C51175F" w14:textId="6A7125D9" w:rsidR="00973D2E" w:rsidRDefault="00973D2E" w:rsidP="00973D2E">
      <w:pPr>
        <w:spacing w:after="0" w:line="240" w:lineRule="auto"/>
      </w:pPr>
      <w:r>
        <w:rPr>
          <w:sz w:val="20"/>
          <w:szCs w:val="20"/>
        </w:rPr>
        <w:t>kontaktinformācija</w:t>
      </w:r>
    </w:p>
    <w:sectPr w:rsidR="00973D2E" w:rsidSect="00FA14A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8D5CF7"/>
    <w:multiLevelType w:val="hybridMultilevel"/>
    <w:tmpl w:val="232A5708"/>
    <w:lvl w:ilvl="0" w:tplc="E0E2C8F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22E94CE">
      <w:start w:val="1"/>
      <w:numFmt w:val="lowerLetter"/>
      <w:lvlText w:val="%2."/>
      <w:lvlJc w:val="left"/>
      <w:pPr>
        <w:ind w:left="1440" w:hanging="360"/>
      </w:pPr>
    </w:lvl>
    <w:lvl w:ilvl="2" w:tplc="2A94E00C">
      <w:start w:val="1"/>
      <w:numFmt w:val="lowerRoman"/>
      <w:lvlText w:val="%3."/>
      <w:lvlJc w:val="right"/>
      <w:pPr>
        <w:ind w:left="2160" w:hanging="180"/>
      </w:pPr>
    </w:lvl>
    <w:lvl w:ilvl="3" w:tplc="A7BA2F56" w:tentative="1">
      <w:start w:val="1"/>
      <w:numFmt w:val="decimal"/>
      <w:lvlText w:val="%4."/>
      <w:lvlJc w:val="left"/>
      <w:pPr>
        <w:ind w:left="2880" w:hanging="360"/>
      </w:pPr>
    </w:lvl>
    <w:lvl w:ilvl="4" w:tplc="4ECE9A08" w:tentative="1">
      <w:start w:val="1"/>
      <w:numFmt w:val="lowerLetter"/>
      <w:lvlText w:val="%5."/>
      <w:lvlJc w:val="left"/>
      <w:pPr>
        <w:ind w:left="3600" w:hanging="360"/>
      </w:pPr>
    </w:lvl>
    <w:lvl w:ilvl="5" w:tplc="BFBC28E8" w:tentative="1">
      <w:start w:val="1"/>
      <w:numFmt w:val="lowerRoman"/>
      <w:lvlText w:val="%6."/>
      <w:lvlJc w:val="right"/>
      <w:pPr>
        <w:ind w:left="4320" w:hanging="180"/>
      </w:pPr>
    </w:lvl>
    <w:lvl w:ilvl="6" w:tplc="CE76FFEE" w:tentative="1">
      <w:start w:val="1"/>
      <w:numFmt w:val="decimal"/>
      <w:lvlText w:val="%7."/>
      <w:lvlJc w:val="left"/>
      <w:pPr>
        <w:ind w:left="5040" w:hanging="360"/>
      </w:pPr>
    </w:lvl>
    <w:lvl w:ilvl="7" w:tplc="18B41924" w:tentative="1">
      <w:start w:val="1"/>
      <w:numFmt w:val="lowerLetter"/>
      <w:lvlText w:val="%8."/>
      <w:lvlJc w:val="left"/>
      <w:pPr>
        <w:ind w:left="5760" w:hanging="360"/>
      </w:pPr>
    </w:lvl>
    <w:lvl w:ilvl="8" w:tplc="DFC4FF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D77496"/>
    <w:multiLevelType w:val="hybridMultilevel"/>
    <w:tmpl w:val="86CE3434"/>
    <w:lvl w:ilvl="0" w:tplc="C48008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3A03272" w:tentative="1">
      <w:start w:val="1"/>
      <w:numFmt w:val="lowerLetter"/>
      <w:lvlText w:val="%2."/>
      <w:lvlJc w:val="left"/>
      <w:pPr>
        <w:ind w:left="1440" w:hanging="360"/>
      </w:pPr>
    </w:lvl>
    <w:lvl w:ilvl="2" w:tplc="AA92502C" w:tentative="1">
      <w:start w:val="1"/>
      <w:numFmt w:val="lowerRoman"/>
      <w:lvlText w:val="%3."/>
      <w:lvlJc w:val="right"/>
      <w:pPr>
        <w:ind w:left="2160" w:hanging="180"/>
      </w:pPr>
    </w:lvl>
    <w:lvl w:ilvl="3" w:tplc="1D742E7E" w:tentative="1">
      <w:start w:val="1"/>
      <w:numFmt w:val="decimal"/>
      <w:lvlText w:val="%4."/>
      <w:lvlJc w:val="left"/>
      <w:pPr>
        <w:ind w:left="2880" w:hanging="360"/>
      </w:pPr>
    </w:lvl>
    <w:lvl w:ilvl="4" w:tplc="FF1A1BF0" w:tentative="1">
      <w:start w:val="1"/>
      <w:numFmt w:val="lowerLetter"/>
      <w:lvlText w:val="%5."/>
      <w:lvlJc w:val="left"/>
      <w:pPr>
        <w:ind w:left="3600" w:hanging="360"/>
      </w:pPr>
    </w:lvl>
    <w:lvl w:ilvl="5" w:tplc="2D6CF4C8" w:tentative="1">
      <w:start w:val="1"/>
      <w:numFmt w:val="lowerRoman"/>
      <w:lvlText w:val="%6."/>
      <w:lvlJc w:val="right"/>
      <w:pPr>
        <w:ind w:left="4320" w:hanging="180"/>
      </w:pPr>
    </w:lvl>
    <w:lvl w:ilvl="6" w:tplc="60F29986" w:tentative="1">
      <w:start w:val="1"/>
      <w:numFmt w:val="decimal"/>
      <w:lvlText w:val="%7."/>
      <w:lvlJc w:val="left"/>
      <w:pPr>
        <w:ind w:left="5040" w:hanging="360"/>
      </w:pPr>
    </w:lvl>
    <w:lvl w:ilvl="7" w:tplc="31D89380" w:tentative="1">
      <w:start w:val="1"/>
      <w:numFmt w:val="lowerLetter"/>
      <w:lvlText w:val="%8."/>
      <w:lvlJc w:val="left"/>
      <w:pPr>
        <w:ind w:left="5760" w:hanging="360"/>
      </w:pPr>
    </w:lvl>
    <w:lvl w:ilvl="8" w:tplc="05E468D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6398647">
    <w:abstractNumId w:val="1"/>
  </w:num>
  <w:num w:numId="2" w16cid:durableId="844057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4A1"/>
    <w:rsid w:val="00092809"/>
    <w:rsid w:val="00143FE6"/>
    <w:rsid w:val="001F4DB6"/>
    <w:rsid w:val="002302D4"/>
    <w:rsid w:val="00235BA5"/>
    <w:rsid w:val="00314D2F"/>
    <w:rsid w:val="00337876"/>
    <w:rsid w:val="0041052A"/>
    <w:rsid w:val="00476176"/>
    <w:rsid w:val="004A62D3"/>
    <w:rsid w:val="005D5E54"/>
    <w:rsid w:val="006A6020"/>
    <w:rsid w:val="00873B60"/>
    <w:rsid w:val="0087589B"/>
    <w:rsid w:val="00916D75"/>
    <w:rsid w:val="00973D2E"/>
    <w:rsid w:val="009D6F8D"/>
    <w:rsid w:val="00A0632B"/>
    <w:rsid w:val="00A328D6"/>
    <w:rsid w:val="00C311BC"/>
    <w:rsid w:val="00C50B63"/>
    <w:rsid w:val="00C57F8D"/>
    <w:rsid w:val="00D32393"/>
    <w:rsid w:val="00DC02CB"/>
    <w:rsid w:val="00FA1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DFDD4"/>
  <w15:chartTrackingRefBased/>
  <w15:docId w15:val="{863378FE-A99A-47F2-A0C9-B57AF5B31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A14A1"/>
    <w:pPr>
      <w:widowControl w:val="0"/>
      <w:spacing w:after="200" w:line="276" w:lineRule="auto"/>
    </w:pPr>
    <w:rPr>
      <w:rFonts w:ascii="Times New Roman" w:eastAsia="Calibri" w:hAnsi="Times New Roman" w:cs="Times New Roman"/>
      <w:sz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uiPriority w:val="99"/>
    <w:unhideWhenUsed/>
    <w:rsid w:val="00FA14A1"/>
    <w:rPr>
      <w:color w:val="0000FF"/>
      <w:u w:val="single"/>
    </w:rPr>
  </w:style>
  <w:style w:type="character" w:customStyle="1" w:styleId="NewOldNormalChar">
    <w:name w:val="New Old Normal Char"/>
    <w:link w:val="NewOldNormal"/>
    <w:locked/>
    <w:rsid w:val="00FA14A1"/>
    <w:rPr>
      <w:szCs w:val="24"/>
    </w:rPr>
  </w:style>
  <w:style w:type="paragraph" w:customStyle="1" w:styleId="NewOldNormal">
    <w:name w:val="New Old Normal"/>
    <w:basedOn w:val="Parasts"/>
    <w:link w:val="NewOldNormalChar"/>
    <w:qFormat/>
    <w:rsid w:val="00FA14A1"/>
    <w:pPr>
      <w:widowControl/>
      <w:spacing w:after="0" w:line="256" w:lineRule="auto"/>
    </w:pPr>
    <w:rPr>
      <w:rFonts w:asciiTheme="minorHAnsi" w:eastAsiaTheme="minorHAnsi" w:hAnsiTheme="minorHAnsi" w:cstheme="minorBidi"/>
      <w:sz w:val="22"/>
      <w:szCs w:val="24"/>
      <w:lang w:eastAsia="en-US"/>
    </w:rPr>
  </w:style>
  <w:style w:type="character" w:styleId="Komentraatsauce">
    <w:name w:val="annotation reference"/>
    <w:basedOn w:val="Noklusjumarindkopasfonts"/>
    <w:uiPriority w:val="99"/>
    <w:semiHidden/>
    <w:unhideWhenUsed/>
    <w:rsid w:val="002302D4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2302D4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2302D4"/>
    <w:rPr>
      <w:rFonts w:ascii="Times New Roman" w:eastAsia="Calibri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2302D4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2302D4"/>
    <w:rPr>
      <w:rFonts w:ascii="Times New Roman" w:eastAsia="Calibri" w:hAnsi="Times New Roman" w:cs="Times New Roman"/>
      <w:b/>
      <w:bCs/>
      <w:sz w:val="20"/>
      <w:szCs w:val="20"/>
      <w:lang w:eastAsia="lv-LV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973D2E"/>
    <w:rPr>
      <w:color w:val="605E5C"/>
      <w:shd w:val="clear" w:color="auto" w:fill="E1DFDD"/>
    </w:rPr>
  </w:style>
  <w:style w:type="paragraph" w:styleId="Prskatjums">
    <w:name w:val="Revision"/>
    <w:hidden/>
    <w:uiPriority w:val="99"/>
    <w:semiHidden/>
    <w:rsid w:val="004A62D3"/>
    <w:pPr>
      <w:spacing w:after="0" w:line="240" w:lineRule="auto"/>
    </w:pPr>
    <w:rPr>
      <w:rFonts w:ascii="Times New Roman" w:eastAsia="Calibri" w:hAnsi="Times New Roman" w:cs="Times New Roman"/>
      <w:sz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tsupport@pvd.gov.lv" TargetMode="External"/><Relationship Id="rId3" Type="http://schemas.openxmlformats.org/officeDocument/2006/relationships/styles" Target="styles.xml"/><Relationship Id="rId7" Type="http://schemas.openxmlformats.org/officeDocument/2006/relationships/hyperlink" Target="https://evetis-api.pvd.gov.lv/scalar/v1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vetis-api-test.pvd.gov.lv/scalar/v1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dvi.gov.l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as@pvd.gov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3A19F9-1F20-4F7B-B6B5-14271815A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4208</TotalTime>
  <Pages>2</Pages>
  <Words>410</Words>
  <Characters>4511</Characters>
  <Application>Microsoft Office Word</Application>
  <DocSecurity>0</DocSecurity>
  <Lines>410</Lines>
  <Paragraphs>410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PVD</Company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Inguna Šapele</dc:creator>
  <cp:keywords/>
  <dc:description/>
  <cp:lastModifiedBy>Mārtiņš Beržinskis</cp:lastModifiedBy>
  <cp:revision>4</cp:revision>
  <dcterms:created xsi:type="dcterms:W3CDTF">2026-03-12T08:23:00Z</dcterms:created>
  <dcterms:modified xsi:type="dcterms:W3CDTF">2026-03-17T09:47:00Z</dcterms:modified>
</cp:coreProperties>
</file>